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C6FAD" w14:textId="640450FA" w:rsidR="00B012C5" w:rsidRPr="00B012C5" w:rsidRDefault="00B012C5" w:rsidP="00B012C5">
      <w:pPr>
        <w:tabs>
          <w:tab w:val="left" w:pos="3969"/>
        </w:tabs>
        <w:spacing w:after="0" w:line="240" w:lineRule="auto"/>
        <w:jc w:val="center"/>
        <w:rPr>
          <w:rFonts w:ascii="Calibri" w:hAnsi="Calibri" w:cs="Calibri"/>
          <w:b/>
        </w:rPr>
      </w:pPr>
      <w:r>
        <w:rPr>
          <w:rFonts w:ascii="Calibri" w:hAnsi="Calibri" w:cs="Calibri"/>
          <w:b/>
        </w:rPr>
        <w:t>Highlights of Rules on Listing of Equity shares in Permissible jurisdictions</w:t>
      </w:r>
    </w:p>
    <w:p w14:paraId="673388EF" w14:textId="77777777" w:rsidR="00B012C5" w:rsidRDefault="00B012C5" w:rsidP="00B012C5">
      <w:pPr>
        <w:tabs>
          <w:tab w:val="left" w:pos="3969"/>
        </w:tabs>
        <w:spacing w:after="0" w:line="240" w:lineRule="auto"/>
        <w:jc w:val="both"/>
        <w:rPr>
          <w:rFonts w:ascii="Calibri" w:hAnsi="Calibri" w:cs="Calibri"/>
          <w:bCs/>
        </w:rPr>
      </w:pPr>
    </w:p>
    <w:p w14:paraId="453A9863" w14:textId="77777777" w:rsidR="00B012C5" w:rsidRPr="00B012C5" w:rsidRDefault="00B012C5" w:rsidP="00B012C5">
      <w:pPr>
        <w:tabs>
          <w:tab w:val="left" w:pos="3969"/>
        </w:tabs>
        <w:spacing w:after="0" w:line="240" w:lineRule="auto"/>
        <w:jc w:val="both"/>
        <w:rPr>
          <w:rFonts w:ascii="Calibri" w:hAnsi="Calibri" w:cs="Calibri"/>
          <w:bCs/>
          <w:sz w:val="12"/>
          <w:szCs w:val="12"/>
        </w:rPr>
      </w:pPr>
    </w:p>
    <w:p w14:paraId="00B306BB" w14:textId="0EE2571D" w:rsidR="00B012C5" w:rsidRPr="00B012C5" w:rsidRDefault="00B012C5" w:rsidP="00B012C5">
      <w:pPr>
        <w:tabs>
          <w:tab w:val="left" w:pos="3969"/>
        </w:tabs>
        <w:spacing w:after="0" w:line="240" w:lineRule="auto"/>
        <w:jc w:val="both"/>
        <w:rPr>
          <w:rFonts w:ascii="Calibri" w:hAnsi="Calibri" w:cs="Calibri"/>
          <w:bCs/>
        </w:rPr>
      </w:pPr>
      <w:r>
        <w:rPr>
          <w:rFonts w:ascii="Calibri" w:hAnsi="Calibri" w:cs="Calibri"/>
          <w:bCs/>
        </w:rPr>
        <w:t xml:space="preserve">1. </w:t>
      </w:r>
      <w:r w:rsidRPr="00B012C5">
        <w:rPr>
          <w:rFonts w:ascii="Calibri" w:hAnsi="Calibri" w:cs="Calibri"/>
          <w:bCs/>
        </w:rPr>
        <w:t>Unlisted public companies and listed public companies which do</w:t>
      </w:r>
      <w:r w:rsidR="000E3D85">
        <w:rPr>
          <w:rFonts w:ascii="Calibri" w:hAnsi="Calibri" w:cs="Calibri"/>
          <w:bCs/>
        </w:rPr>
        <w:t xml:space="preserve"> </w:t>
      </w:r>
      <w:r w:rsidRPr="00B012C5">
        <w:rPr>
          <w:rFonts w:ascii="Calibri" w:hAnsi="Calibri" w:cs="Calibri"/>
          <w:bCs/>
        </w:rPr>
        <w:t xml:space="preserve">not have partly paid-up shares may issue equity shares for listing on </w:t>
      </w:r>
      <w:r w:rsidR="00367942">
        <w:rPr>
          <w:rFonts w:ascii="Calibri" w:hAnsi="Calibri" w:cs="Calibri"/>
          <w:bCs/>
        </w:rPr>
        <w:t xml:space="preserve">permitted </w:t>
      </w:r>
      <w:r w:rsidRPr="00B012C5">
        <w:rPr>
          <w:rFonts w:ascii="Calibri" w:hAnsi="Calibri" w:cs="Calibri"/>
          <w:bCs/>
        </w:rPr>
        <w:t xml:space="preserve">stock exchange in permissible jurisdiction. Issuance of equity shares include offer for sale by existing shareholders of unlisted public company. </w:t>
      </w:r>
    </w:p>
    <w:p w14:paraId="6F15D32D" w14:textId="77777777" w:rsidR="00B012C5" w:rsidRPr="00B012C5" w:rsidRDefault="00B012C5" w:rsidP="00B012C5">
      <w:pPr>
        <w:tabs>
          <w:tab w:val="left" w:pos="3969"/>
        </w:tabs>
        <w:spacing w:after="0" w:line="240" w:lineRule="auto"/>
        <w:jc w:val="both"/>
        <w:rPr>
          <w:rFonts w:ascii="Calibri" w:hAnsi="Calibri" w:cs="Calibri"/>
          <w:bCs/>
        </w:rPr>
      </w:pPr>
    </w:p>
    <w:p w14:paraId="33535BBD" w14:textId="0CF8612E" w:rsidR="00B012C5" w:rsidRPr="00B012C5" w:rsidRDefault="00B012C5" w:rsidP="00B012C5">
      <w:pPr>
        <w:tabs>
          <w:tab w:val="left" w:pos="3969"/>
        </w:tabs>
        <w:spacing w:after="0" w:line="240" w:lineRule="auto"/>
        <w:jc w:val="both"/>
        <w:rPr>
          <w:rFonts w:ascii="Calibri" w:hAnsi="Calibri" w:cs="Calibri"/>
          <w:bCs/>
        </w:rPr>
      </w:pPr>
      <w:r w:rsidRPr="00B012C5">
        <w:rPr>
          <w:rFonts w:ascii="Calibri" w:hAnsi="Calibri" w:cs="Calibri"/>
          <w:bCs/>
        </w:rPr>
        <w:t>2. Permissible jurisdiction means such jurisdiction as specified in First Schedule of the</w:t>
      </w:r>
      <w:r w:rsidR="005E2703">
        <w:rPr>
          <w:rFonts w:ascii="Calibri" w:hAnsi="Calibri" w:cs="Calibri"/>
          <w:bCs/>
        </w:rPr>
        <w:t xml:space="preserve"> Companies </w:t>
      </w:r>
      <w:r w:rsidR="005E2703" w:rsidRPr="005E2703">
        <w:rPr>
          <w:rFonts w:ascii="Calibri" w:hAnsi="Calibri" w:cs="Calibri"/>
          <w:bCs/>
        </w:rPr>
        <w:t>(Listing of equity shares in permissible jurisdictions) Rules, 2024</w:t>
      </w:r>
      <w:r w:rsidRPr="00B012C5">
        <w:rPr>
          <w:rFonts w:ascii="Calibri" w:hAnsi="Calibri" w:cs="Calibri"/>
          <w:bCs/>
        </w:rPr>
        <w:t xml:space="preserve"> rules</w:t>
      </w:r>
      <w:r w:rsidR="005E2703">
        <w:rPr>
          <w:rFonts w:ascii="Calibri" w:hAnsi="Calibri" w:cs="Calibri"/>
          <w:bCs/>
        </w:rPr>
        <w:t xml:space="preserve"> (“</w:t>
      </w:r>
      <w:r w:rsidR="005E2703" w:rsidRPr="005E2703">
        <w:rPr>
          <w:rFonts w:ascii="Calibri" w:hAnsi="Calibri" w:cs="Calibri"/>
          <w:b/>
        </w:rPr>
        <w:t>the</w:t>
      </w:r>
      <w:r w:rsidR="005E2703">
        <w:rPr>
          <w:rFonts w:ascii="Calibri" w:hAnsi="Calibri" w:cs="Calibri"/>
          <w:bCs/>
        </w:rPr>
        <w:t xml:space="preserve"> </w:t>
      </w:r>
      <w:r w:rsidR="005E2703" w:rsidRPr="005E2703">
        <w:rPr>
          <w:rFonts w:ascii="Calibri" w:hAnsi="Calibri" w:cs="Calibri"/>
          <w:b/>
        </w:rPr>
        <w:t>Rules</w:t>
      </w:r>
      <w:r w:rsidR="005E2703">
        <w:rPr>
          <w:rFonts w:ascii="Calibri" w:hAnsi="Calibri" w:cs="Calibri"/>
          <w:bCs/>
        </w:rPr>
        <w:t>”)</w:t>
      </w:r>
      <w:r w:rsidRPr="00B012C5">
        <w:rPr>
          <w:rFonts w:ascii="Calibri" w:hAnsi="Calibri" w:cs="Calibri"/>
          <w:bCs/>
        </w:rPr>
        <w:t xml:space="preserve">. As of now </w:t>
      </w:r>
      <w:r w:rsidR="00246A1C">
        <w:rPr>
          <w:rFonts w:ascii="Calibri" w:hAnsi="Calibri" w:cs="Calibri"/>
          <w:bCs/>
        </w:rPr>
        <w:t xml:space="preserve">the </w:t>
      </w:r>
      <w:r w:rsidRPr="00B012C5">
        <w:rPr>
          <w:rFonts w:ascii="Calibri" w:hAnsi="Calibri" w:cs="Calibri"/>
          <w:bCs/>
        </w:rPr>
        <w:t xml:space="preserve">International Financial Services Centre in India has been specified in the said schedule. </w:t>
      </w:r>
    </w:p>
    <w:p w14:paraId="1FF32061" w14:textId="77777777" w:rsidR="00B012C5" w:rsidRPr="00B012C5" w:rsidRDefault="00B012C5" w:rsidP="00B012C5">
      <w:pPr>
        <w:tabs>
          <w:tab w:val="left" w:pos="3969"/>
        </w:tabs>
        <w:spacing w:after="0" w:line="240" w:lineRule="auto"/>
        <w:jc w:val="both"/>
        <w:rPr>
          <w:rFonts w:ascii="Calibri" w:hAnsi="Calibri" w:cs="Calibri"/>
          <w:bCs/>
        </w:rPr>
      </w:pPr>
    </w:p>
    <w:p w14:paraId="07BC9C16" w14:textId="3E35DC77" w:rsidR="002918B2" w:rsidRDefault="00B012C5" w:rsidP="00B012C5">
      <w:pPr>
        <w:tabs>
          <w:tab w:val="left" w:pos="3969"/>
        </w:tabs>
        <w:spacing w:after="0" w:line="240" w:lineRule="auto"/>
        <w:jc w:val="both"/>
        <w:rPr>
          <w:rFonts w:ascii="Calibri" w:hAnsi="Calibri" w:cs="Calibri"/>
          <w:bCs/>
        </w:rPr>
      </w:pPr>
      <w:r w:rsidRPr="00B012C5">
        <w:rPr>
          <w:rFonts w:ascii="Calibri" w:hAnsi="Calibri" w:cs="Calibri"/>
          <w:bCs/>
        </w:rPr>
        <w:t xml:space="preserve">3. </w:t>
      </w:r>
      <w:r w:rsidR="00AA1A86">
        <w:rPr>
          <w:rFonts w:ascii="Calibri" w:hAnsi="Calibri" w:cs="Calibri"/>
          <w:bCs/>
        </w:rPr>
        <w:t>India International Exchange and NSE International Exchange have been notified as Permitted Stock Exchange</w:t>
      </w:r>
      <w:r w:rsidR="00717052">
        <w:rPr>
          <w:rFonts w:ascii="Calibri" w:hAnsi="Calibri" w:cs="Calibri"/>
          <w:bCs/>
        </w:rPr>
        <w:t>s</w:t>
      </w:r>
      <w:r w:rsidR="00AA1A86">
        <w:rPr>
          <w:rFonts w:ascii="Calibri" w:hAnsi="Calibri" w:cs="Calibri"/>
          <w:bCs/>
        </w:rPr>
        <w:t xml:space="preserve"> under First Schedule of the Rules.</w:t>
      </w:r>
    </w:p>
    <w:p w14:paraId="04B1FBCA" w14:textId="77777777" w:rsidR="002918B2" w:rsidRDefault="002918B2" w:rsidP="00B012C5">
      <w:pPr>
        <w:tabs>
          <w:tab w:val="left" w:pos="3969"/>
        </w:tabs>
        <w:spacing w:after="0" w:line="240" w:lineRule="auto"/>
        <w:jc w:val="both"/>
        <w:rPr>
          <w:rFonts w:ascii="Calibri" w:hAnsi="Calibri" w:cs="Calibri"/>
          <w:bCs/>
        </w:rPr>
      </w:pPr>
    </w:p>
    <w:p w14:paraId="4D2DDDFD" w14:textId="2BF49F63" w:rsidR="00B012C5" w:rsidRPr="00B012C5" w:rsidRDefault="002918B2" w:rsidP="00B012C5">
      <w:pPr>
        <w:tabs>
          <w:tab w:val="left" w:pos="3969"/>
        </w:tabs>
        <w:spacing w:after="0" w:line="240" w:lineRule="auto"/>
        <w:jc w:val="both"/>
        <w:rPr>
          <w:rFonts w:ascii="Calibri" w:hAnsi="Calibri" w:cs="Calibri"/>
          <w:bCs/>
        </w:rPr>
      </w:pPr>
      <w:r>
        <w:rPr>
          <w:rFonts w:ascii="Calibri" w:hAnsi="Calibri" w:cs="Calibri"/>
          <w:bCs/>
        </w:rPr>
        <w:t xml:space="preserve">4. </w:t>
      </w:r>
      <w:r w:rsidR="00B012C5" w:rsidRPr="00B012C5">
        <w:rPr>
          <w:rFonts w:ascii="Calibri" w:hAnsi="Calibri" w:cs="Calibri"/>
          <w:bCs/>
        </w:rPr>
        <w:t xml:space="preserve">An Unlisted public company listing its equity shares in permissible jurisdiction and which also intends to list its shares on any recognised stock exchange shall comply with such conditions as may be specified by SEBI. </w:t>
      </w:r>
    </w:p>
    <w:p w14:paraId="73AA07F3" w14:textId="77777777" w:rsidR="00B012C5" w:rsidRPr="00B012C5" w:rsidRDefault="00B012C5" w:rsidP="00B012C5">
      <w:pPr>
        <w:tabs>
          <w:tab w:val="left" w:pos="3969"/>
        </w:tabs>
        <w:spacing w:after="0" w:line="240" w:lineRule="auto"/>
        <w:jc w:val="both"/>
        <w:rPr>
          <w:rFonts w:ascii="Calibri" w:hAnsi="Calibri" w:cs="Calibri"/>
          <w:bCs/>
        </w:rPr>
      </w:pPr>
    </w:p>
    <w:p w14:paraId="5CFFFBB3" w14:textId="4E2F346E" w:rsidR="00B012C5" w:rsidRPr="00B012C5" w:rsidRDefault="002918B2" w:rsidP="00B012C5">
      <w:pPr>
        <w:tabs>
          <w:tab w:val="left" w:pos="3969"/>
        </w:tabs>
        <w:spacing w:after="0" w:line="240" w:lineRule="auto"/>
        <w:jc w:val="both"/>
        <w:rPr>
          <w:rFonts w:ascii="Calibri" w:hAnsi="Calibri" w:cs="Calibri"/>
          <w:bCs/>
        </w:rPr>
      </w:pPr>
      <w:r>
        <w:rPr>
          <w:rFonts w:ascii="Calibri" w:hAnsi="Calibri" w:cs="Calibri"/>
          <w:bCs/>
        </w:rPr>
        <w:t>5</w:t>
      </w:r>
      <w:r w:rsidR="00B012C5" w:rsidRPr="00B012C5">
        <w:rPr>
          <w:rFonts w:ascii="Calibri" w:hAnsi="Calibri" w:cs="Calibri"/>
          <w:bCs/>
        </w:rPr>
        <w:t xml:space="preserve">. Form LEAP-1 </w:t>
      </w:r>
      <w:r w:rsidR="00246A1C">
        <w:rPr>
          <w:rFonts w:ascii="Calibri" w:hAnsi="Calibri" w:cs="Calibri"/>
          <w:bCs/>
        </w:rPr>
        <w:t xml:space="preserve">has been </w:t>
      </w:r>
      <w:r w:rsidR="00B012C5" w:rsidRPr="00B012C5">
        <w:rPr>
          <w:rFonts w:ascii="Calibri" w:hAnsi="Calibri" w:cs="Calibri"/>
          <w:bCs/>
        </w:rPr>
        <w:t xml:space="preserve">notified for submission of prospectus with the Registrar by Unlisted public companies. The prospectus for listing of equity shares in permissible jurisdiction shall be filed within 7 days of finalization. </w:t>
      </w:r>
    </w:p>
    <w:p w14:paraId="6367D6C5" w14:textId="77777777" w:rsidR="00B012C5" w:rsidRPr="00B012C5" w:rsidRDefault="00B012C5" w:rsidP="00B012C5">
      <w:pPr>
        <w:tabs>
          <w:tab w:val="left" w:pos="3969"/>
        </w:tabs>
        <w:spacing w:after="0" w:line="240" w:lineRule="auto"/>
        <w:jc w:val="both"/>
        <w:rPr>
          <w:rFonts w:ascii="Calibri" w:hAnsi="Calibri" w:cs="Calibri"/>
          <w:bCs/>
        </w:rPr>
      </w:pPr>
    </w:p>
    <w:p w14:paraId="21A72E1E" w14:textId="578C2327" w:rsidR="00B012C5" w:rsidRPr="00B012C5" w:rsidRDefault="002918B2" w:rsidP="00B012C5">
      <w:pPr>
        <w:tabs>
          <w:tab w:val="left" w:pos="3969"/>
        </w:tabs>
        <w:spacing w:after="0" w:line="240" w:lineRule="auto"/>
        <w:jc w:val="both"/>
        <w:rPr>
          <w:rFonts w:ascii="Calibri" w:hAnsi="Calibri" w:cs="Calibri"/>
          <w:bCs/>
        </w:rPr>
      </w:pPr>
      <w:r>
        <w:rPr>
          <w:rFonts w:ascii="Calibri" w:hAnsi="Calibri" w:cs="Calibri"/>
          <w:bCs/>
        </w:rPr>
        <w:t>6</w:t>
      </w:r>
      <w:r w:rsidR="00B012C5" w:rsidRPr="00B012C5">
        <w:rPr>
          <w:rFonts w:ascii="Calibri" w:hAnsi="Calibri" w:cs="Calibri"/>
          <w:bCs/>
        </w:rPr>
        <w:t xml:space="preserve">. IND-AS shall be followed mandatorily for preparation of financial statements after listing of equity shares in permissible jurisdiction in addition to compliance of any other accounting standard that may be applicable as per the stock exchange concerned. </w:t>
      </w:r>
    </w:p>
    <w:p w14:paraId="25A0F39E" w14:textId="77777777" w:rsidR="00B012C5" w:rsidRPr="00B012C5" w:rsidRDefault="00B012C5" w:rsidP="00B012C5">
      <w:pPr>
        <w:tabs>
          <w:tab w:val="left" w:pos="3969"/>
        </w:tabs>
        <w:spacing w:after="0" w:line="240" w:lineRule="auto"/>
        <w:jc w:val="both"/>
        <w:rPr>
          <w:rFonts w:ascii="Calibri" w:hAnsi="Calibri" w:cs="Calibri"/>
          <w:bCs/>
        </w:rPr>
      </w:pPr>
    </w:p>
    <w:p w14:paraId="2AAEA926" w14:textId="08F6CE52" w:rsidR="00B012C5" w:rsidRPr="00B012C5" w:rsidRDefault="002918B2" w:rsidP="00B012C5">
      <w:pPr>
        <w:tabs>
          <w:tab w:val="left" w:pos="3969"/>
        </w:tabs>
        <w:spacing w:after="0" w:line="240" w:lineRule="auto"/>
        <w:jc w:val="both"/>
        <w:rPr>
          <w:rFonts w:ascii="Calibri" w:hAnsi="Calibri" w:cs="Calibri"/>
          <w:bCs/>
        </w:rPr>
      </w:pPr>
      <w:r>
        <w:rPr>
          <w:rFonts w:ascii="Calibri" w:hAnsi="Calibri" w:cs="Calibri"/>
          <w:bCs/>
        </w:rPr>
        <w:t>7</w:t>
      </w:r>
      <w:r w:rsidR="00B012C5" w:rsidRPr="00B012C5">
        <w:rPr>
          <w:rFonts w:ascii="Calibri" w:hAnsi="Calibri" w:cs="Calibri"/>
          <w:bCs/>
        </w:rPr>
        <w:t>. Certain companies that are not eligible for listing of equity shares in permissible jurisdiction:</w:t>
      </w:r>
    </w:p>
    <w:p w14:paraId="099BEBDA" w14:textId="77777777" w:rsidR="00B012C5" w:rsidRPr="00B012C5" w:rsidRDefault="00B012C5" w:rsidP="00B012C5">
      <w:pPr>
        <w:tabs>
          <w:tab w:val="left" w:pos="3969"/>
        </w:tabs>
        <w:spacing w:after="0" w:line="240" w:lineRule="auto"/>
        <w:jc w:val="both"/>
        <w:rPr>
          <w:rFonts w:ascii="Calibri" w:hAnsi="Calibri" w:cs="Calibri"/>
          <w:bCs/>
        </w:rPr>
      </w:pPr>
    </w:p>
    <w:p w14:paraId="3DB3C3E4" w14:textId="77777777" w:rsidR="00B012C5" w:rsidRPr="00B012C5" w:rsidRDefault="00B012C5" w:rsidP="00B012C5">
      <w:pPr>
        <w:pStyle w:val="ListParagraph"/>
        <w:numPr>
          <w:ilvl w:val="0"/>
          <w:numId w:val="1"/>
        </w:numPr>
        <w:tabs>
          <w:tab w:val="left" w:pos="3969"/>
        </w:tabs>
        <w:spacing w:after="0" w:line="240" w:lineRule="auto"/>
        <w:contextualSpacing w:val="0"/>
        <w:jc w:val="both"/>
        <w:rPr>
          <w:rFonts w:ascii="Calibri" w:hAnsi="Calibri" w:cs="Calibri"/>
          <w:bCs/>
        </w:rPr>
      </w:pPr>
      <w:r w:rsidRPr="00B012C5">
        <w:rPr>
          <w:rFonts w:ascii="Calibri" w:hAnsi="Calibri" w:cs="Calibri"/>
          <w:bCs/>
        </w:rPr>
        <w:t>Section 8 companies</w:t>
      </w:r>
    </w:p>
    <w:p w14:paraId="346ED66C" w14:textId="77777777" w:rsidR="00B012C5" w:rsidRPr="00B012C5" w:rsidRDefault="00B012C5" w:rsidP="00B012C5">
      <w:pPr>
        <w:pStyle w:val="ListParagraph"/>
        <w:numPr>
          <w:ilvl w:val="0"/>
          <w:numId w:val="1"/>
        </w:numPr>
        <w:tabs>
          <w:tab w:val="left" w:pos="3969"/>
        </w:tabs>
        <w:spacing w:after="0" w:line="240" w:lineRule="auto"/>
        <w:contextualSpacing w:val="0"/>
        <w:jc w:val="both"/>
        <w:rPr>
          <w:rFonts w:ascii="Calibri" w:hAnsi="Calibri" w:cs="Calibri"/>
          <w:bCs/>
        </w:rPr>
      </w:pPr>
      <w:r w:rsidRPr="00B012C5">
        <w:rPr>
          <w:rFonts w:ascii="Calibri" w:hAnsi="Calibri" w:cs="Calibri"/>
          <w:bCs/>
        </w:rPr>
        <w:t>Nidhi Companies</w:t>
      </w:r>
    </w:p>
    <w:p w14:paraId="1B24C9D9" w14:textId="77777777" w:rsidR="00B012C5" w:rsidRPr="00B012C5" w:rsidRDefault="00B012C5" w:rsidP="00B012C5">
      <w:pPr>
        <w:pStyle w:val="ListParagraph"/>
        <w:numPr>
          <w:ilvl w:val="0"/>
          <w:numId w:val="1"/>
        </w:numPr>
        <w:tabs>
          <w:tab w:val="left" w:pos="3969"/>
        </w:tabs>
        <w:spacing w:after="0" w:line="240" w:lineRule="auto"/>
        <w:contextualSpacing w:val="0"/>
        <w:jc w:val="both"/>
        <w:rPr>
          <w:rFonts w:ascii="Calibri" w:hAnsi="Calibri" w:cs="Calibri"/>
          <w:bCs/>
        </w:rPr>
      </w:pPr>
      <w:r w:rsidRPr="00B012C5">
        <w:rPr>
          <w:rFonts w:ascii="Calibri" w:hAnsi="Calibri" w:cs="Calibri"/>
          <w:bCs/>
        </w:rPr>
        <w:t xml:space="preserve">Company limited by guarantee and also having share capital </w:t>
      </w:r>
    </w:p>
    <w:p w14:paraId="6D6050C9" w14:textId="01C346CA" w:rsidR="00B012C5" w:rsidRPr="00B012C5" w:rsidRDefault="00F93B89" w:rsidP="00B012C5">
      <w:pPr>
        <w:pStyle w:val="ListParagraph"/>
        <w:numPr>
          <w:ilvl w:val="0"/>
          <w:numId w:val="1"/>
        </w:numPr>
        <w:tabs>
          <w:tab w:val="left" w:pos="3969"/>
        </w:tabs>
        <w:spacing w:after="0" w:line="240" w:lineRule="auto"/>
        <w:contextualSpacing w:val="0"/>
        <w:jc w:val="both"/>
        <w:rPr>
          <w:rFonts w:ascii="Calibri" w:hAnsi="Calibri" w:cs="Calibri"/>
          <w:bCs/>
        </w:rPr>
      </w:pPr>
      <w:r>
        <w:rPr>
          <w:rFonts w:ascii="Calibri" w:hAnsi="Calibri" w:cs="Calibri"/>
          <w:bCs/>
        </w:rPr>
        <w:t>Companies having a</w:t>
      </w:r>
      <w:r w:rsidR="00B012C5" w:rsidRPr="00B012C5">
        <w:rPr>
          <w:rFonts w:ascii="Calibri" w:hAnsi="Calibri" w:cs="Calibri"/>
          <w:bCs/>
        </w:rPr>
        <w:t>ny outstanding public deposits as per the Companies Act, 2013</w:t>
      </w:r>
      <w:r w:rsidR="00693643">
        <w:rPr>
          <w:rFonts w:ascii="Calibri" w:hAnsi="Calibri" w:cs="Calibri"/>
          <w:bCs/>
        </w:rPr>
        <w:t>(“</w:t>
      </w:r>
      <w:r w:rsidR="00693643" w:rsidRPr="00693643">
        <w:rPr>
          <w:rFonts w:ascii="Calibri" w:hAnsi="Calibri" w:cs="Calibri"/>
          <w:b/>
        </w:rPr>
        <w:t>the Act</w:t>
      </w:r>
      <w:r w:rsidR="00693643">
        <w:rPr>
          <w:rFonts w:ascii="Calibri" w:hAnsi="Calibri" w:cs="Calibri"/>
          <w:bCs/>
        </w:rPr>
        <w:t>”)</w:t>
      </w:r>
    </w:p>
    <w:p w14:paraId="23082FC0" w14:textId="77777777" w:rsidR="00B012C5" w:rsidRPr="00B012C5" w:rsidRDefault="00B012C5" w:rsidP="00B012C5">
      <w:pPr>
        <w:pStyle w:val="ListParagraph"/>
        <w:numPr>
          <w:ilvl w:val="0"/>
          <w:numId w:val="1"/>
        </w:numPr>
        <w:tabs>
          <w:tab w:val="left" w:pos="3969"/>
        </w:tabs>
        <w:spacing w:after="0" w:line="240" w:lineRule="auto"/>
        <w:contextualSpacing w:val="0"/>
        <w:jc w:val="both"/>
        <w:rPr>
          <w:rFonts w:ascii="Calibri" w:hAnsi="Calibri" w:cs="Calibri"/>
          <w:bCs/>
        </w:rPr>
      </w:pPr>
      <w:r w:rsidRPr="00B012C5">
        <w:rPr>
          <w:rFonts w:ascii="Calibri" w:hAnsi="Calibri" w:cs="Calibri"/>
          <w:bCs/>
        </w:rPr>
        <w:t xml:space="preserve">Companies having negative net worth </w:t>
      </w:r>
    </w:p>
    <w:p w14:paraId="0C1C8EA0" w14:textId="6857F3F0" w:rsidR="00B012C5" w:rsidRPr="00B012C5" w:rsidRDefault="00F93B89" w:rsidP="00B012C5">
      <w:pPr>
        <w:pStyle w:val="ListParagraph"/>
        <w:numPr>
          <w:ilvl w:val="0"/>
          <w:numId w:val="1"/>
        </w:numPr>
        <w:tabs>
          <w:tab w:val="left" w:pos="3969"/>
        </w:tabs>
        <w:spacing w:after="0" w:line="240" w:lineRule="auto"/>
        <w:contextualSpacing w:val="0"/>
        <w:jc w:val="both"/>
        <w:rPr>
          <w:rFonts w:ascii="Calibri" w:hAnsi="Calibri" w:cs="Calibri"/>
          <w:bCs/>
        </w:rPr>
      </w:pPr>
      <w:r>
        <w:rPr>
          <w:rFonts w:ascii="Calibri" w:hAnsi="Calibri" w:cs="Calibri"/>
          <w:bCs/>
        </w:rPr>
        <w:t>Companies that have d</w:t>
      </w:r>
      <w:r w:rsidR="00B012C5" w:rsidRPr="00B012C5">
        <w:rPr>
          <w:rFonts w:ascii="Calibri" w:hAnsi="Calibri" w:cs="Calibri"/>
          <w:bCs/>
        </w:rPr>
        <w:t xml:space="preserve">efaulted in payment of dues to bank or public financial institutions or NCDs or any other secured creditor. If two years have lapsed from making good of default, the company will be permitted to list. </w:t>
      </w:r>
    </w:p>
    <w:p w14:paraId="3E985A9B" w14:textId="77777777" w:rsidR="00B012C5" w:rsidRPr="00B012C5" w:rsidRDefault="00B012C5" w:rsidP="00B012C5">
      <w:pPr>
        <w:pStyle w:val="ListParagraph"/>
        <w:numPr>
          <w:ilvl w:val="0"/>
          <w:numId w:val="1"/>
        </w:numPr>
        <w:tabs>
          <w:tab w:val="left" w:pos="3969"/>
        </w:tabs>
        <w:spacing w:after="0" w:line="240" w:lineRule="auto"/>
        <w:contextualSpacing w:val="0"/>
        <w:jc w:val="both"/>
        <w:rPr>
          <w:rFonts w:ascii="Calibri" w:hAnsi="Calibri" w:cs="Calibri"/>
          <w:bCs/>
        </w:rPr>
      </w:pPr>
      <w:r w:rsidRPr="00B012C5">
        <w:rPr>
          <w:rFonts w:ascii="Calibri" w:hAnsi="Calibri" w:cs="Calibri"/>
          <w:bCs/>
        </w:rPr>
        <w:t xml:space="preserve">Filed an application for winding up under the Act or IBC or proceedings are pending under the respective legislations. </w:t>
      </w:r>
    </w:p>
    <w:p w14:paraId="75D8B4E9" w14:textId="02E1B29F" w:rsidR="00B012C5" w:rsidRPr="00B012C5" w:rsidRDefault="00523F9F" w:rsidP="00B012C5">
      <w:pPr>
        <w:pStyle w:val="ListParagraph"/>
        <w:numPr>
          <w:ilvl w:val="0"/>
          <w:numId w:val="1"/>
        </w:numPr>
        <w:tabs>
          <w:tab w:val="left" w:pos="3969"/>
        </w:tabs>
        <w:spacing w:after="0" w:line="240" w:lineRule="auto"/>
        <w:contextualSpacing w:val="0"/>
        <w:jc w:val="both"/>
        <w:rPr>
          <w:rFonts w:ascii="Calibri" w:hAnsi="Calibri" w:cs="Calibri"/>
          <w:bCs/>
        </w:rPr>
      </w:pPr>
      <w:r>
        <w:rPr>
          <w:rFonts w:ascii="Calibri" w:hAnsi="Calibri" w:cs="Calibri"/>
          <w:bCs/>
        </w:rPr>
        <w:t>Companies that have d</w:t>
      </w:r>
      <w:r w:rsidR="00B012C5" w:rsidRPr="00B012C5">
        <w:rPr>
          <w:rFonts w:ascii="Calibri" w:hAnsi="Calibri" w:cs="Calibri"/>
          <w:bCs/>
        </w:rPr>
        <w:t xml:space="preserve">efaulted in filing Annual Return or Financial Statements under the Act within the specified period. </w:t>
      </w:r>
    </w:p>
    <w:p w14:paraId="23BFFF03" w14:textId="77777777" w:rsidR="000D7A56" w:rsidRDefault="000D7A56">
      <w:pPr>
        <w:rPr>
          <w:rFonts w:ascii="Calibri" w:hAnsi="Calibri" w:cs="Calibri"/>
        </w:rPr>
      </w:pPr>
    </w:p>
    <w:p w14:paraId="23F367F1" w14:textId="738975E3" w:rsidR="00B012C5" w:rsidRDefault="00B012C5" w:rsidP="00B012C5">
      <w:pPr>
        <w:ind w:left="2880" w:firstLine="720"/>
        <w:rPr>
          <w:rFonts w:ascii="Calibri" w:hAnsi="Calibri" w:cs="Calibri"/>
        </w:rPr>
      </w:pPr>
      <w:r>
        <w:rPr>
          <w:rFonts w:ascii="Calibri" w:hAnsi="Calibri" w:cs="Calibri"/>
        </w:rPr>
        <w:t>**********************</w:t>
      </w:r>
    </w:p>
    <w:p w14:paraId="6AF7CF46" w14:textId="77777777" w:rsidR="00105FB0" w:rsidRPr="00105FB0" w:rsidRDefault="00105FB0" w:rsidP="00105FB0">
      <w:pPr>
        <w:rPr>
          <w:rFonts w:ascii="Calibri" w:hAnsi="Calibri" w:cs="Calibri"/>
        </w:rPr>
      </w:pPr>
    </w:p>
    <w:p w14:paraId="4C1C7C96" w14:textId="77777777" w:rsidR="00105FB0" w:rsidRPr="00105FB0" w:rsidRDefault="00105FB0" w:rsidP="00105FB0">
      <w:pPr>
        <w:rPr>
          <w:rFonts w:ascii="Calibri" w:hAnsi="Calibri" w:cs="Calibri"/>
        </w:rPr>
      </w:pPr>
    </w:p>
    <w:p w14:paraId="0558B726" w14:textId="77777777" w:rsidR="00105FB0" w:rsidRPr="00105FB0" w:rsidRDefault="00105FB0" w:rsidP="00105FB0">
      <w:pPr>
        <w:rPr>
          <w:rFonts w:ascii="Calibri" w:hAnsi="Calibri" w:cs="Calibri"/>
        </w:rPr>
      </w:pPr>
    </w:p>
    <w:p w14:paraId="63EC19D4" w14:textId="77777777" w:rsidR="00105FB0" w:rsidRDefault="00105FB0" w:rsidP="00105FB0">
      <w:pPr>
        <w:rPr>
          <w:rFonts w:ascii="Calibri" w:hAnsi="Calibri" w:cs="Calibri"/>
        </w:rPr>
      </w:pPr>
    </w:p>
    <w:p w14:paraId="27DB33E0" w14:textId="77777777" w:rsidR="00105FB0" w:rsidRPr="00714DD0" w:rsidRDefault="00105FB0" w:rsidP="00105FB0">
      <w:pPr>
        <w:pStyle w:val="Header"/>
        <w:ind w:left="-426"/>
        <w:rPr>
          <w:rFonts w:ascii="Calibri" w:hAnsi="Calibri" w:cs="Calibri"/>
        </w:rPr>
      </w:pPr>
      <w:r w:rsidRPr="00714DD0">
        <w:rPr>
          <w:rFonts w:ascii="Calibri" w:hAnsi="Calibri" w:cs="Calibri"/>
          <w:b/>
        </w:rPr>
        <w:t>#</w:t>
      </w:r>
      <w:r w:rsidRPr="00714DD0">
        <w:rPr>
          <w:rFonts w:ascii="Calibri" w:hAnsi="Calibri" w:cs="Calibri"/>
        </w:rPr>
        <w:t xml:space="preserve"> 405, 7th Cross, IV Block, Koramangala, Bangalore – 560 034  </w:t>
      </w:r>
    </w:p>
    <w:p w14:paraId="1F61D55E" w14:textId="77777777" w:rsidR="00105FB0" w:rsidRPr="00714DD0" w:rsidRDefault="00105FB0" w:rsidP="00105FB0">
      <w:pPr>
        <w:autoSpaceDE w:val="0"/>
        <w:autoSpaceDN w:val="0"/>
        <w:adjustRightInd w:val="0"/>
        <w:spacing w:after="0"/>
        <w:ind w:left="-426"/>
        <w:rPr>
          <w:rFonts w:ascii="Calibri" w:hAnsi="Calibri" w:cs="Calibri"/>
        </w:rPr>
      </w:pPr>
      <w:r w:rsidRPr="00714DD0">
        <w:rPr>
          <w:rFonts w:ascii="Segoe UI Symbol" w:eastAsia="MS PGothic" w:hAnsi="Segoe UI Symbol" w:cs="Segoe UI Symbol"/>
          <w:b/>
        </w:rPr>
        <w:lastRenderedPageBreak/>
        <w:t>☏</w:t>
      </w:r>
      <w:r w:rsidRPr="00714DD0">
        <w:rPr>
          <w:rFonts w:ascii="Calibri" w:hAnsi="Calibri" w:cs="Calibri"/>
          <w:b/>
        </w:rPr>
        <w:t>:</w:t>
      </w:r>
      <w:r w:rsidRPr="00714DD0">
        <w:rPr>
          <w:rFonts w:ascii="Calibri" w:hAnsi="Calibri" w:cs="Calibri"/>
        </w:rPr>
        <w:t xml:space="preserve"> 080-25534374 / 25536618</w:t>
      </w:r>
    </w:p>
    <w:p w14:paraId="07434B72" w14:textId="77777777" w:rsidR="00105FB0" w:rsidRPr="00714DD0" w:rsidRDefault="00105FB0" w:rsidP="00105FB0">
      <w:pPr>
        <w:autoSpaceDE w:val="0"/>
        <w:autoSpaceDN w:val="0"/>
        <w:adjustRightInd w:val="0"/>
        <w:spacing w:after="0"/>
        <w:ind w:left="-426"/>
        <w:rPr>
          <w:rFonts w:ascii="Calibri" w:hAnsi="Calibri" w:cs="Calibri"/>
        </w:rPr>
      </w:pPr>
      <w:r w:rsidRPr="00714DD0">
        <w:rPr>
          <w:rFonts w:ascii="Segoe UI Symbol" w:eastAsia="MS Gothic" w:hAnsi="Segoe UI Symbol" w:cs="Segoe UI Symbol"/>
        </w:rPr>
        <w:t>✉</w:t>
      </w:r>
      <w:r w:rsidRPr="00714DD0">
        <w:rPr>
          <w:rFonts w:ascii="Calibri" w:hAnsi="Calibri" w:cs="Calibri"/>
          <w:b/>
        </w:rPr>
        <w:t>:</w:t>
      </w:r>
      <w:r w:rsidRPr="00714DD0">
        <w:rPr>
          <w:rFonts w:ascii="Calibri" w:hAnsi="Calibri" w:cs="Calibri"/>
        </w:rPr>
        <w:t xml:space="preserve"> info@sharadasc.com</w:t>
      </w:r>
    </w:p>
    <w:p w14:paraId="08E72DF8" w14:textId="62A1CB9D" w:rsidR="00105FB0" w:rsidRPr="00105FB0" w:rsidRDefault="00105FB0" w:rsidP="00105FB0">
      <w:pPr>
        <w:pStyle w:val="Footer"/>
        <w:ind w:left="-426"/>
        <w:rPr>
          <w:rFonts w:ascii="Calibri" w:hAnsi="Calibri" w:cs="Calibri"/>
          <w:b/>
        </w:rPr>
      </w:pPr>
      <w:r w:rsidRPr="00714DD0">
        <w:rPr>
          <w:rFonts w:ascii="Calibri" w:hAnsi="Calibri" w:cs="Calibri"/>
          <w:b/>
        </w:rPr>
        <w:t>www.sharadasc.com</w:t>
      </w:r>
    </w:p>
    <w:sectPr w:rsidR="00105FB0" w:rsidRPr="00105FB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5515B" w14:textId="77777777" w:rsidR="00E87BC8" w:rsidRDefault="00E87BC8" w:rsidP="00105FB0">
      <w:pPr>
        <w:spacing w:after="0" w:line="240" w:lineRule="auto"/>
      </w:pPr>
      <w:r>
        <w:separator/>
      </w:r>
    </w:p>
  </w:endnote>
  <w:endnote w:type="continuationSeparator" w:id="0">
    <w:p w14:paraId="2B4D1EE9" w14:textId="77777777" w:rsidR="00E87BC8" w:rsidRDefault="00E87BC8" w:rsidP="00105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3161A" w14:textId="77777777" w:rsidR="00E87BC8" w:rsidRDefault="00E87BC8" w:rsidP="00105FB0">
      <w:pPr>
        <w:spacing w:after="0" w:line="240" w:lineRule="auto"/>
      </w:pPr>
      <w:r>
        <w:separator/>
      </w:r>
    </w:p>
  </w:footnote>
  <w:footnote w:type="continuationSeparator" w:id="0">
    <w:p w14:paraId="6758A024" w14:textId="77777777" w:rsidR="00E87BC8" w:rsidRDefault="00E87BC8" w:rsidP="00105F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10115" w14:textId="77777777" w:rsidR="00105FB0" w:rsidRDefault="00105FB0" w:rsidP="00105FB0">
    <w:pPr>
      <w:pStyle w:val="Header"/>
      <w:ind w:left="2160"/>
    </w:pPr>
    <w:r w:rsidRPr="00AA247C">
      <w:rPr>
        <w:noProof/>
        <w:sz w:val="21"/>
        <w:szCs w:val="21"/>
      </w:rPr>
      <w:drawing>
        <wp:anchor distT="0" distB="0" distL="114300" distR="114300" simplePos="0" relativeHeight="251659264" behindDoc="0" locked="0" layoutInCell="1" allowOverlap="1" wp14:anchorId="64636BAD" wp14:editId="5526BF03">
          <wp:simplePos x="0" y="0"/>
          <wp:positionH relativeFrom="margin">
            <wp:posOffset>4187190</wp:posOffset>
          </wp:positionH>
          <wp:positionV relativeFrom="margin">
            <wp:posOffset>-722630</wp:posOffset>
          </wp:positionV>
          <wp:extent cx="2071370" cy="433070"/>
          <wp:effectExtent l="0" t="0" r="5080" b="5080"/>
          <wp:wrapSquare wrapText="bothSides"/>
          <wp:docPr id="1324976107" name="Picture 132497610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071370" cy="433070"/>
                  </a:xfrm>
                  <a:prstGeom prst="rect">
                    <a:avLst/>
                  </a:prstGeom>
                </pic:spPr>
              </pic:pic>
            </a:graphicData>
          </a:graphic>
          <wp14:sizeRelH relativeFrom="margin">
            <wp14:pctWidth>0</wp14:pctWidth>
          </wp14:sizeRelH>
          <wp14:sizeRelV relativeFrom="margin">
            <wp14:pctHeight>0</wp14:pctHeight>
          </wp14:sizeRelV>
        </wp:anchor>
      </w:drawing>
    </w:r>
  </w:p>
  <w:p w14:paraId="288AB2D8" w14:textId="77777777" w:rsidR="00105FB0" w:rsidRDefault="00105F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F2E6B"/>
    <w:multiLevelType w:val="hybridMultilevel"/>
    <w:tmpl w:val="31ECA674"/>
    <w:lvl w:ilvl="0" w:tplc="8DCA1252">
      <w:numFmt w:val="bullet"/>
      <w:lvlText w:val="-"/>
      <w:lvlJc w:val="left"/>
      <w:pPr>
        <w:ind w:left="360" w:hanging="360"/>
      </w:pPr>
      <w:rPr>
        <w:rFonts w:ascii="Calibri" w:eastAsiaTheme="minorEastAsia" w:hAnsi="Calibri" w:cs="Calibri"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16cid:durableId="1928611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735"/>
    <w:rsid w:val="000D7A56"/>
    <w:rsid w:val="000E3D85"/>
    <w:rsid w:val="00105FB0"/>
    <w:rsid w:val="001559A5"/>
    <w:rsid w:val="00246A1C"/>
    <w:rsid w:val="002918B2"/>
    <w:rsid w:val="002C0680"/>
    <w:rsid w:val="00367942"/>
    <w:rsid w:val="00523F9F"/>
    <w:rsid w:val="005E2703"/>
    <w:rsid w:val="006327D3"/>
    <w:rsid w:val="00661131"/>
    <w:rsid w:val="00693643"/>
    <w:rsid w:val="00717052"/>
    <w:rsid w:val="00A67735"/>
    <w:rsid w:val="00AA1A86"/>
    <w:rsid w:val="00B012C5"/>
    <w:rsid w:val="00B62CC9"/>
    <w:rsid w:val="00BA095F"/>
    <w:rsid w:val="00E87BC8"/>
    <w:rsid w:val="00F93B8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7E32C"/>
  <w15:chartTrackingRefBased/>
  <w15:docId w15:val="{1484EB7D-AE2F-4536-90B2-F55DDEF46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2C5"/>
    <w:pPr>
      <w:spacing w:after="200" w:line="276" w:lineRule="auto"/>
    </w:pPr>
    <w:rPr>
      <w:rFonts w:eastAsiaTheme="minorEastAsia"/>
      <w:kern w:val="0"/>
      <w:lang w:eastAsia="en-IN" w:bidi="kn-IN"/>
      <w14:ligatures w14:val="none"/>
    </w:rPr>
  </w:style>
  <w:style w:type="paragraph" w:styleId="Heading1">
    <w:name w:val="heading 1"/>
    <w:basedOn w:val="Normal"/>
    <w:next w:val="Normal"/>
    <w:link w:val="Heading1Char"/>
    <w:uiPriority w:val="9"/>
    <w:qFormat/>
    <w:rsid w:val="00A677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77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77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77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77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77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77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77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77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C0680"/>
    <w:pPr>
      <w:ind w:left="720"/>
      <w:contextualSpacing/>
    </w:pPr>
  </w:style>
  <w:style w:type="character" w:customStyle="1" w:styleId="Heading1Char">
    <w:name w:val="Heading 1 Char"/>
    <w:basedOn w:val="DefaultParagraphFont"/>
    <w:link w:val="Heading1"/>
    <w:uiPriority w:val="9"/>
    <w:rsid w:val="00A677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77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77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77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77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77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77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77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7735"/>
    <w:rPr>
      <w:rFonts w:eastAsiaTheme="majorEastAsia" w:cstheme="majorBidi"/>
      <w:color w:val="272727" w:themeColor="text1" w:themeTint="D8"/>
    </w:rPr>
  </w:style>
  <w:style w:type="paragraph" w:styleId="Title">
    <w:name w:val="Title"/>
    <w:basedOn w:val="Normal"/>
    <w:next w:val="Normal"/>
    <w:link w:val="TitleChar"/>
    <w:uiPriority w:val="10"/>
    <w:qFormat/>
    <w:rsid w:val="00A677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77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77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77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7735"/>
    <w:pPr>
      <w:spacing w:before="160"/>
      <w:jc w:val="center"/>
    </w:pPr>
    <w:rPr>
      <w:i/>
      <w:iCs/>
      <w:color w:val="404040" w:themeColor="text1" w:themeTint="BF"/>
    </w:rPr>
  </w:style>
  <w:style w:type="character" w:customStyle="1" w:styleId="QuoteChar">
    <w:name w:val="Quote Char"/>
    <w:basedOn w:val="DefaultParagraphFont"/>
    <w:link w:val="Quote"/>
    <w:uiPriority w:val="29"/>
    <w:rsid w:val="00A67735"/>
    <w:rPr>
      <w:i/>
      <w:iCs/>
      <w:color w:val="404040" w:themeColor="text1" w:themeTint="BF"/>
    </w:rPr>
  </w:style>
  <w:style w:type="character" w:styleId="IntenseEmphasis">
    <w:name w:val="Intense Emphasis"/>
    <w:basedOn w:val="DefaultParagraphFont"/>
    <w:uiPriority w:val="21"/>
    <w:qFormat/>
    <w:rsid w:val="00A67735"/>
    <w:rPr>
      <w:i/>
      <w:iCs/>
      <w:color w:val="0F4761" w:themeColor="accent1" w:themeShade="BF"/>
    </w:rPr>
  </w:style>
  <w:style w:type="paragraph" w:styleId="IntenseQuote">
    <w:name w:val="Intense Quote"/>
    <w:basedOn w:val="Normal"/>
    <w:next w:val="Normal"/>
    <w:link w:val="IntenseQuoteChar"/>
    <w:uiPriority w:val="30"/>
    <w:qFormat/>
    <w:rsid w:val="00A677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7735"/>
    <w:rPr>
      <w:i/>
      <w:iCs/>
      <w:color w:val="0F4761" w:themeColor="accent1" w:themeShade="BF"/>
    </w:rPr>
  </w:style>
  <w:style w:type="character" w:styleId="IntenseReference">
    <w:name w:val="Intense Reference"/>
    <w:basedOn w:val="DefaultParagraphFont"/>
    <w:uiPriority w:val="32"/>
    <w:qFormat/>
    <w:rsid w:val="00A67735"/>
    <w:rPr>
      <w:b/>
      <w:bCs/>
      <w:smallCaps/>
      <w:color w:val="0F4761" w:themeColor="accent1" w:themeShade="BF"/>
      <w:spacing w:val="5"/>
    </w:rPr>
  </w:style>
  <w:style w:type="character" w:customStyle="1" w:styleId="ListParagraphChar">
    <w:name w:val="List Paragraph Char"/>
    <w:link w:val="ListParagraph"/>
    <w:uiPriority w:val="34"/>
    <w:locked/>
    <w:rsid w:val="00B012C5"/>
  </w:style>
  <w:style w:type="paragraph" w:styleId="Header">
    <w:name w:val="header"/>
    <w:basedOn w:val="Normal"/>
    <w:link w:val="HeaderChar"/>
    <w:uiPriority w:val="99"/>
    <w:unhideWhenUsed/>
    <w:rsid w:val="00105F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5FB0"/>
    <w:rPr>
      <w:rFonts w:eastAsiaTheme="minorEastAsia"/>
      <w:kern w:val="0"/>
      <w:lang w:eastAsia="en-IN" w:bidi="kn-IN"/>
      <w14:ligatures w14:val="none"/>
    </w:rPr>
  </w:style>
  <w:style w:type="paragraph" w:styleId="Footer">
    <w:name w:val="footer"/>
    <w:basedOn w:val="Normal"/>
    <w:link w:val="FooterChar"/>
    <w:uiPriority w:val="99"/>
    <w:unhideWhenUsed/>
    <w:rsid w:val="00105F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5FB0"/>
    <w:rPr>
      <w:rFonts w:eastAsiaTheme="minorEastAsia"/>
      <w:kern w:val="0"/>
      <w:lang w:eastAsia="en-IN" w:bidi="k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370</Words>
  <Characters>2109</Characters>
  <Application>Microsoft Office Word</Application>
  <DocSecurity>0</DocSecurity>
  <Lines>17</Lines>
  <Paragraphs>4</Paragraphs>
  <ScaleCrop>false</ScaleCrop>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SCS&amp;A</dc:creator>
  <cp:keywords/>
  <dc:description/>
  <cp:lastModifiedBy>2939</cp:lastModifiedBy>
  <cp:revision>2</cp:revision>
  <dcterms:created xsi:type="dcterms:W3CDTF">2024-01-31T12:47:00Z</dcterms:created>
  <dcterms:modified xsi:type="dcterms:W3CDTF">2024-01-31T12:47:00Z</dcterms:modified>
</cp:coreProperties>
</file>